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25" w:type="dxa"/>
        <w:tblCellSpacing w:w="0" w:type="dxa"/>
        <w:tblCellMar>
          <w:left w:w="0" w:type="dxa"/>
          <w:right w:w="0" w:type="dxa"/>
        </w:tblCellMar>
        <w:tblLook w:val="04A0" w:firstRow="1" w:lastRow="0" w:firstColumn="1" w:lastColumn="0" w:noHBand="0" w:noVBand="1"/>
      </w:tblPr>
      <w:tblGrid>
        <w:gridCol w:w="10725"/>
      </w:tblGrid>
      <w:tr w:rsidR="00BB3A0C" w:rsidRPr="00BB3A0C" w:rsidTr="00BB3A0C">
        <w:trPr>
          <w:tblCellSpacing w:w="0" w:type="dxa"/>
        </w:trPr>
        <w:tc>
          <w:tcPr>
            <w:tcW w:w="0" w:type="auto"/>
            <w:vAlign w:val="center"/>
            <w:hideMark/>
          </w:tcPr>
          <w:p w:rsidR="00BB3A0C" w:rsidRPr="00BB3A0C" w:rsidRDefault="00BB3A0C" w:rsidP="00BB3A0C">
            <w:pPr>
              <w:spacing w:after="0" w:line="240" w:lineRule="auto"/>
              <w:jc w:val="center"/>
              <w:rPr>
                <w:rFonts w:ascii="Arial" w:eastAsia="Times New Roman" w:hAnsi="Arial" w:cs="Arial"/>
                <w:b/>
                <w:bCs/>
                <w:color w:val="000000"/>
                <w:sz w:val="36"/>
                <w:szCs w:val="36"/>
                <w:lang w:eastAsia="es-ES"/>
              </w:rPr>
            </w:pPr>
          </w:p>
        </w:tc>
      </w:tr>
      <w:tr w:rsidR="00BB3A0C" w:rsidRPr="00BB3A0C" w:rsidTr="00BB3A0C">
        <w:trPr>
          <w:tblCellSpacing w:w="0" w:type="dxa"/>
        </w:trPr>
        <w:tc>
          <w:tcPr>
            <w:tcW w:w="0" w:type="auto"/>
            <w:vAlign w:val="center"/>
            <w:hideMark/>
          </w:tcPr>
          <w:p w:rsidR="00BB3A0C" w:rsidRPr="00BB3A0C" w:rsidRDefault="00BB3A0C" w:rsidP="00BB3A0C">
            <w:pPr>
              <w:spacing w:after="0" w:line="240" w:lineRule="auto"/>
              <w:rPr>
                <w:rFonts w:eastAsia="Times New Roman" w:cstheme="minorHAnsi"/>
                <w:color w:val="000000"/>
                <w:sz w:val="18"/>
                <w:szCs w:val="18"/>
                <w:lang w:eastAsia="es-ES"/>
              </w:rPr>
            </w:pPr>
            <w:r w:rsidRPr="00BB3A0C">
              <w:rPr>
                <w:rFonts w:eastAsia="Times New Roman" w:cstheme="minorHAnsi"/>
                <w:color w:val="000000"/>
                <w:sz w:val="18"/>
                <w:szCs w:val="18"/>
                <w:lang w:eastAsia="es-ES"/>
              </w:rPr>
              <w:t> </w:t>
            </w:r>
          </w:p>
        </w:tc>
      </w:tr>
      <w:tr w:rsidR="00BB3A0C" w:rsidRPr="00BB3A0C" w:rsidTr="00BB3A0C">
        <w:trPr>
          <w:tblCellSpacing w:w="0" w:type="dxa"/>
        </w:trPr>
        <w:tc>
          <w:tcPr>
            <w:tcW w:w="0" w:type="auto"/>
            <w:hideMark/>
          </w:tcPr>
          <w:tbl>
            <w:tblPr>
              <w:tblW w:w="9105" w:type="dxa"/>
              <w:tblCellSpacing w:w="0" w:type="dxa"/>
              <w:tblCellMar>
                <w:left w:w="0" w:type="dxa"/>
                <w:right w:w="0" w:type="dxa"/>
              </w:tblCellMar>
              <w:tblLook w:val="04A0" w:firstRow="1" w:lastRow="0" w:firstColumn="1" w:lastColumn="0" w:noHBand="0" w:noVBand="1"/>
            </w:tblPr>
            <w:tblGrid>
              <w:gridCol w:w="9105"/>
            </w:tblGrid>
            <w:tr w:rsidR="00BB3A0C" w:rsidRPr="00BB3A0C" w:rsidTr="00BB3A0C">
              <w:trPr>
                <w:tblCellSpacing w:w="0" w:type="dxa"/>
              </w:trPr>
              <w:tc>
                <w:tcPr>
                  <w:tcW w:w="0" w:type="auto"/>
                  <w:vAlign w:val="center"/>
                  <w:hideMark/>
                </w:tcPr>
                <w:p w:rsidR="00BB3A0C" w:rsidRPr="00BB3A0C" w:rsidRDefault="00BB3A0C" w:rsidP="00BB3A0C">
                  <w:pPr>
                    <w:spacing w:after="0" w:line="240" w:lineRule="auto"/>
                    <w:jc w:val="center"/>
                    <w:rPr>
                      <w:rFonts w:eastAsia="Times New Roman" w:cstheme="minorHAnsi"/>
                      <w:sz w:val="36"/>
                      <w:szCs w:val="36"/>
                      <w:lang w:eastAsia="es-ES"/>
                    </w:rPr>
                  </w:pPr>
                  <w:r w:rsidRPr="00BB3A0C">
                    <w:rPr>
                      <w:rFonts w:eastAsia="Times New Roman" w:cstheme="minorHAnsi"/>
                      <w:b/>
                      <w:bCs/>
                      <w:color w:val="000000"/>
                      <w:sz w:val="36"/>
                      <w:szCs w:val="36"/>
                      <w:lang w:eastAsia="es-ES"/>
                    </w:rPr>
                    <w:t>Instrumentos de la Inteligencia Artificial para la adquisición y gestión del conocimiento</w:t>
                  </w:r>
                  <w:r w:rsidRPr="00BB3A0C">
                    <w:rPr>
                      <w:rFonts w:eastAsia="Times New Roman" w:cstheme="minorHAnsi"/>
                      <w:sz w:val="36"/>
                      <w:szCs w:val="36"/>
                      <w:lang w:eastAsia="es-ES"/>
                    </w:rPr>
                    <w:t xml:space="preserve"> </w:t>
                  </w:r>
                  <w:r w:rsidRPr="00BB3A0C">
                    <w:rPr>
                      <w:rFonts w:eastAsia="Times New Roman" w:cstheme="minorHAnsi"/>
                      <w:sz w:val="36"/>
                      <w:szCs w:val="36"/>
                      <w:lang w:eastAsia="es-ES"/>
                    </w:rPr>
                    <w:br/>
                  </w:r>
                  <w:r w:rsidRPr="00BB3A0C">
                    <w:rPr>
                      <w:rFonts w:eastAsia="Times New Roman" w:cstheme="minorHAnsi"/>
                      <w:sz w:val="36"/>
                      <w:szCs w:val="36"/>
                      <w:lang w:eastAsia="es-ES"/>
                    </w:rPr>
                    <w:br/>
                  </w:r>
                </w:p>
              </w:tc>
            </w:tr>
            <w:tr w:rsidR="00BB3A0C" w:rsidRPr="00BB3A0C" w:rsidTr="00BB3A0C">
              <w:trPr>
                <w:tblCellSpacing w:w="0" w:type="dxa"/>
              </w:trPr>
              <w:tc>
                <w:tcPr>
                  <w:tcW w:w="0" w:type="auto"/>
                  <w:vAlign w:val="center"/>
                  <w:hideMark/>
                </w:tcPr>
                <w:p w:rsidR="00BB3A0C" w:rsidRPr="00BB3A0C" w:rsidRDefault="00BB3A0C" w:rsidP="00BB3A0C">
                  <w:pPr>
                    <w:spacing w:after="0" w:line="240" w:lineRule="auto"/>
                    <w:rPr>
                      <w:rFonts w:eastAsia="Times New Roman" w:cstheme="minorHAnsi"/>
                      <w:sz w:val="18"/>
                      <w:szCs w:val="18"/>
                      <w:lang w:eastAsia="es-ES"/>
                    </w:rPr>
                  </w:pPr>
                  <w:r w:rsidRPr="00BB3A0C">
                    <w:rPr>
                      <w:rFonts w:eastAsia="Times New Roman" w:cstheme="minorHAnsi"/>
                      <w:sz w:val="18"/>
                      <w:szCs w:val="18"/>
                      <w:lang w:eastAsia="es-ES"/>
                    </w:rPr>
                    <w:t> </w:t>
                  </w:r>
                </w:p>
              </w:tc>
            </w:tr>
            <w:tr w:rsidR="00BB3A0C" w:rsidRPr="00BB3A0C" w:rsidTr="00BB3A0C">
              <w:trPr>
                <w:tblCellSpacing w:w="0" w:type="dxa"/>
              </w:trPr>
              <w:tc>
                <w:tcPr>
                  <w:tcW w:w="0" w:type="auto"/>
                  <w:vAlign w:val="center"/>
                  <w:hideMark/>
                </w:tcPr>
                <w:p w:rsidR="00BB3A0C" w:rsidRPr="00BB3A0C" w:rsidRDefault="00BB3A0C" w:rsidP="00BB3A0C">
                  <w:pPr>
                    <w:spacing w:after="0" w:line="240" w:lineRule="auto"/>
                    <w:rPr>
                      <w:rFonts w:eastAsia="Times New Roman" w:cstheme="minorHAnsi"/>
                      <w:sz w:val="18"/>
                      <w:szCs w:val="18"/>
                      <w:lang w:eastAsia="es-ES"/>
                    </w:rPr>
                  </w:pPr>
                </w:p>
              </w:tc>
            </w:tr>
            <w:tr w:rsidR="00BB3A0C" w:rsidRPr="00BB3A0C" w:rsidTr="00BB3A0C">
              <w:trPr>
                <w:tblCellSpacing w:w="0" w:type="dxa"/>
              </w:trPr>
              <w:tc>
                <w:tcPr>
                  <w:tcW w:w="0" w:type="auto"/>
                  <w:vAlign w:val="center"/>
                  <w:hideMark/>
                </w:tcPr>
                <w:p w:rsidR="00BB3A0C" w:rsidRPr="00BB3A0C" w:rsidRDefault="00BB3A0C" w:rsidP="00BB3A0C">
                  <w:pPr>
                    <w:spacing w:after="0" w:line="240" w:lineRule="auto"/>
                    <w:rPr>
                      <w:rFonts w:eastAsia="Times New Roman" w:cstheme="minorHAnsi"/>
                      <w:sz w:val="18"/>
                      <w:szCs w:val="18"/>
                      <w:lang w:eastAsia="es-ES"/>
                    </w:rPr>
                  </w:pPr>
                  <w:r w:rsidRPr="00BB3A0C">
                    <w:rPr>
                      <w:rFonts w:eastAsia="Times New Roman" w:cstheme="minorHAnsi"/>
                      <w:sz w:val="18"/>
                      <w:szCs w:val="18"/>
                      <w:lang w:eastAsia="es-ES"/>
                    </w:rPr>
                    <w:t> </w:t>
                  </w:r>
                </w:p>
              </w:tc>
            </w:tr>
            <w:tr w:rsidR="00BB3A0C" w:rsidRPr="00BB3A0C" w:rsidTr="00BB3A0C">
              <w:trPr>
                <w:tblCellSpacing w:w="0" w:type="dxa"/>
              </w:trPr>
              <w:tc>
                <w:tcPr>
                  <w:tcW w:w="0" w:type="auto"/>
                  <w:vAlign w:val="center"/>
                  <w:hideMark/>
                </w:tcPr>
                <w:p w:rsidR="00BB3A0C" w:rsidRPr="00BB3A0C" w:rsidRDefault="00BB3A0C" w:rsidP="00BB3A0C">
                  <w:pPr>
                    <w:spacing w:after="0" w:line="240" w:lineRule="auto"/>
                    <w:rPr>
                      <w:rFonts w:eastAsia="Times New Roman" w:cstheme="minorHAnsi"/>
                      <w:sz w:val="18"/>
                      <w:szCs w:val="18"/>
                      <w:lang w:eastAsia="es-ES"/>
                    </w:rPr>
                  </w:pPr>
                </w:p>
              </w:tc>
            </w:tr>
            <w:tr w:rsidR="00BB3A0C" w:rsidRPr="00BB3A0C" w:rsidTr="00BB3A0C">
              <w:trPr>
                <w:tblCellSpacing w:w="0" w:type="dxa"/>
              </w:trPr>
              <w:tc>
                <w:tcPr>
                  <w:tcW w:w="0" w:type="auto"/>
                  <w:vAlign w:val="center"/>
                  <w:hideMark/>
                </w:tcPr>
                <w:p w:rsidR="00BB3A0C" w:rsidRPr="00BB3A0C" w:rsidRDefault="00BB3A0C" w:rsidP="00BB3A0C">
                  <w:pPr>
                    <w:spacing w:after="0" w:line="240" w:lineRule="auto"/>
                    <w:rPr>
                      <w:rFonts w:eastAsia="Times New Roman" w:cstheme="minorHAnsi"/>
                      <w:lang w:eastAsia="es-ES"/>
                    </w:rPr>
                  </w:pPr>
                  <w:r w:rsidRPr="00BB3A0C">
                    <w:rPr>
                      <w:rFonts w:eastAsia="Times New Roman" w:cstheme="minorHAnsi"/>
                      <w:lang w:eastAsia="es-ES"/>
                    </w:rPr>
                    <w:t>La gestión del conocimiento como propuesta hecha a las organizaciones para que aprovechen el conocimiento tácito inmerso en ellas, y del cual son poseedores cada uno de sus miembros, requiere de instrumentos que solidifiquen este conocimiento y que sirvan como artefactos de mediación entre los múltiples intereses, culturas, posiciones y formaciones de los actores organizacionales. </w:t>
                  </w:r>
                  <w:r w:rsidRPr="00BB3A0C">
                    <w:rPr>
                      <w:rFonts w:eastAsia="Times New Roman" w:cstheme="minorHAnsi"/>
                      <w:lang w:eastAsia="es-ES"/>
                    </w:rPr>
                    <w:br/>
                  </w:r>
                  <w:r w:rsidRPr="00BB3A0C">
                    <w:rPr>
                      <w:rFonts w:eastAsia="Times New Roman" w:cstheme="minorHAnsi"/>
                      <w:lang w:eastAsia="es-ES"/>
                    </w:rPr>
                    <w:br/>
                    <w:t>A partir de las explic</w:t>
                  </w:r>
                  <w:bookmarkStart w:id="0" w:name="_GoBack"/>
                  <w:bookmarkEnd w:id="0"/>
                  <w:r w:rsidRPr="00BB3A0C">
                    <w:rPr>
                      <w:rFonts w:eastAsia="Times New Roman" w:cstheme="minorHAnsi"/>
                      <w:lang w:eastAsia="es-ES"/>
                    </w:rPr>
                    <w:t xml:space="preserve">aciones que la Antropología aporta respecto al uso que hace el hombre de símbolos e </w:t>
                  </w:r>
                  <w:proofErr w:type="spellStart"/>
                  <w:r w:rsidRPr="00BB3A0C">
                    <w:rPr>
                      <w:rFonts w:eastAsia="Times New Roman" w:cstheme="minorHAnsi"/>
                      <w:lang w:eastAsia="es-ES"/>
                    </w:rPr>
                    <w:t>intrumentos</w:t>
                  </w:r>
                  <w:proofErr w:type="spellEnd"/>
                  <w:r w:rsidRPr="00BB3A0C">
                    <w:rPr>
                      <w:rFonts w:eastAsia="Times New Roman" w:cstheme="minorHAnsi"/>
                      <w:lang w:eastAsia="es-ES"/>
                    </w:rPr>
                    <w:t>, surgen algunas reflexiones sobre estos instrumentos y técnicas productos de la IA que nos dirigen a la hipótesis que en este trabajo se sustenta: la utilización dentro de la organización, y en apoyo a sus procesos cotidianos, de técnicas e instrumentos provenientes de los resultados alcanzados por la IA hacen efectivamente posible la creación de un aprendizaje organizacional, ya que con ellos no sólo es posible la captura de las experiencias y saberes individuales de sus miembros sino también la configuración de un conocimiento consensuado a través de la dinámica de interacción que se da en relación con las tareas diarias.</w:t>
                  </w:r>
                  <w:r w:rsidRPr="00BB3A0C">
                    <w:rPr>
                      <w:rFonts w:eastAsia="Times New Roman" w:cstheme="minorHAnsi"/>
                      <w:sz w:val="18"/>
                      <w:szCs w:val="18"/>
                      <w:lang w:eastAsia="es-ES"/>
                    </w:rPr>
                    <w:t> </w:t>
                  </w:r>
                </w:p>
              </w:tc>
            </w:tr>
          </w:tbl>
          <w:p w:rsidR="00BB3A0C" w:rsidRPr="00BB3A0C" w:rsidRDefault="00BB3A0C" w:rsidP="00BB3A0C">
            <w:pPr>
              <w:spacing w:after="0" w:line="240" w:lineRule="auto"/>
              <w:jc w:val="center"/>
              <w:rPr>
                <w:rFonts w:eastAsia="Times New Roman" w:cstheme="minorHAnsi"/>
                <w:color w:val="000000"/>
                <w:sz w:val="18"/>
                <w:szCs w:val="18"/>
                <w:lang w:eastAsia="es-ES"/>
              </w:rPr>
            </w:pPr>
          </w:p>
        </w:tc>
      </w:tr>
    </w:tbl>
    <w:p w:rsidR="00395199" w:rsidRDefault="00395199"/>
    <w:sectPr w:rsidR="003951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323"/>
    <w:rsid w:val="00395199"/>
    <w:rsid w:val="00BB3A0C"/>
    <w:rsid w:val="00E823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ituloarticulo2">
    <w:name w:val="titulo_articulo_2"/>
    <w:basedOn w:val="Fuentedeprrafopredeter"/>
    <w:rsid w:val="00BB3A0C"/>
  </w:style>
  <w:style w:type="character" w:customStyle="1" w:styleId="apple-converted-space">
    <w:name w:val="apple-converted-space"/>
    <w:basedOn w:val="Fuentedeprrafopredeter"/>
    <w:rsid w:val="00BB3A0C"/>
  </w:style>
  <w:style w:type="character" w:customStyle="1" w:styleId="autor">
    <w:name w:val="autor"/>
    <w:basedOn w:val="Fuentedeprrafopredeter"/>
    <w:rsid w:val="00BB3A0C"/>
  </w:style>
  <w:style w:type="character" w:styleId="Hipervnculo">
    <w:name w:val="Hyperlink"/>
    <w:basedOn w:val="Fuentedeprrafopredeter"/>
    <w:uiPriority w:val="99"/>
    <w:semiHidden/>
    <w:unhideWhenUsed/>
    <w:rsid w:val="00BB3A0C"/>
    <w:rPr>
      <w:color w:val="0000FF"/>
      <w:u w:val="single"/>
    </w:rPr>
  </w:style>
  <w:style w:type="character" w:customStyle="1" w:styleId="ligaresumen">
    <w:name w:val="liga_resumen"/>
    <w:basedOn w:val="Fuentedeprrafopredeter"/>
    <w:rsid w:val="00BB3A0C"/>
  </w:style>
  <w:style w:type="character" w:customStyle="1" w:styleId="tituloarticulo">
    <w:name w:val="titulo_articulo"/>
    <w:basedOn w:val="Fuentedeprrafopredeter"/>
    <w:rsid w:val="00BB3A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ituloarticulo2">
    <w:name w:val="titulo_articulo_2"/>
    <w:basedOn w:val="Fuentedeprrafopredeter"/>
    <w:rsid w:val="00BB3A0C"/>
  </w:style>
  <w:style w:type="character" w:customStyle="1" w:styleId="apple-converted-space">
    <w:name w:val="apple-converted-space"/>
    <w:basedOn w:val="Fuentedeprrafopredeter"/>
    <w:rsid w:val="00BB3A0C"/>
  </w:style>
  <w:style w:type="character" w:customStyle="1" w:styleId="autor">
    <w:name w:val="autor"/>
    <w:basedOn w:val="Fuentedeprrafopredeter"/>
    <w:rsid w:val="00BB3A0C"/>
  </w:style>
  <w:style w:type="character" w:styleId="Hipervnculo">
    <w:name w:val="Hyperlink"/>
    <w:basedOn w:val="Fuentedeprrafopredeter"/>
    <w:uiPriority w:val="99"/>
    <w:semiHidden/>
    <w:unhideWhenUsed/>
    <w:rsid w:val="00BB3A0C"/>
    <w:rPr>
      <w:color w:val="0000FF"/>
      <w:u w:val="single"/>
    </w:rPr>
  </w:style>
  <w:style w:type="character" w:customStyle="1" w:styleId="ligaresumen">
    <w:name w:val="liga_resumen"/>
    <w:basedOn w:val="Fuentedeprrafopredeter"/>
    <w:rsid w:val="00BB3A0C"/>
  </w:style>
  <w:style w:type="character" w:customStyle="1" w:styleId="tituloarticulo">
    <w:name w:val="titulo_articulo"/>
    <w:basedOn w:val="Fuentedeprrafopredeter"/>
    <w:rsid w:val="00BB3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383568">
      <w:bodyDiv w:val="1"/>
      <w:marLeft w:val="0"/>
      <w:marRight w:val="0"/>
      <w:marTop w:val="0"/>
      <w:marBottom w:val="0"/>
      <w:divBdr>
        <w:top w:val="none" w:sz="0" w:space="0" w:color="auto"/>
        <w:left w:val="none" w:sz="0" w:space="0" w:color="auto"/>
        <w:bottom w:val="none" w:sz="0" w:space="0" w:color="auto"/>
        <w:right w:val="none" w:sz="0" w:space="0" w:color="auto"/>
      </w:divBdr>
      <w:divsChild>
        <w:div w:id="1712076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1058</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LanCenter</dc:creator>
  <cp:keywords/>
  <dc:description/>
  <cp:lastModifiedBy>LanCenter</cp:lastModifiedBy>
  <cp:revision>3</cp:revision>
  <dcterms:created xsi:type="dcterms:W3CDTF">2014-12-06T16:14:00Z</dcterms:created>
  <dcterms:modified xsi:type="dcterms:W3CDTF">2014-12-06T16:16:00Z</dcterms:modified>
</cp:coreProperties>
</file>